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37" w:rsidRDefault="00C62337" w:rsidP="000F00B6">
      <w:pPr>
        <w:widowControl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36"/>
          <w:szCs w:val="36"/>
        </w:rPr>
      </w:pPr>
      <w:r>
        <w:rPr>
          <w:rFonts w:ascii="方正小标宋简体" w:eastAsia="方正小标宋简体" w:hAnsi="微软雅黑" w:cs="宋体"/>
          <w:noProof/>
          <w:color w:val="000000"/>
          <w:kern w:val="36"/>
          <w:sz w:val="36"/>
          <w:szCs w:val="36"/>
        </w:rPr>
        <w:drawing>
          <wp:inline distT="0" distB="0" distL="0" distR="0">
            <wp:extent cx="5274310" cy="864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函件头部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337" w:rsidRDefault="00C62337" w:rsidP="00C62337">
      <w:pPr>
        <w:widowControl/>
        <w:jc w:val="righ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</w:p>
    <w:p w:rsidR="00C62337" w:rsidRPr="00C62337" w:rsidRDefault="00C62337" w:rsidP="00C62337">
      <w:pPr>
        <w:widowControl/>
        <w:jc w:val="righ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C6233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教关委函</w:t>
      </w:r>
      <w:r w:rsidRPr="00C6233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〔2018〕</w:t>
      </w:r>
      <w:r w:rsidRPr="00C6233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7号</w:t>
      </w:r>
    </w:p>
    <w:p w:rsidR="001F559D" w:rsidRDefault="000F00B6" w:rsidP="000F00B6">
      <w:pPr>
        <w:widowControl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36"/>
          <w:szCs w:val="36"/>
        </w:rPr>
      </w:pPr>
      <w:r w:rsidRPr="001F559D">
        <w:rPr>
          <w:rFonts w:ascii="方正小标宋简体" w:eastAsia="方正小标宋简体" w:hAnsi="微软雅黑" w:cs="宋体" w:hint="eastAsia"/>
          <w:color w:val="000000"/>
          <w:kern w:val="36"/>
          <w:sz w:val="36"/>
          <w:szCs w:val="36"/>
        </w:rPr>
        <w:t>关于开展全国职业</w:t>
      </w:r>
      <w:r w:rsidR="0062488D" w:rsidRPr="001F559D">
        <w:rPr>
          <w:rFonts w:ascii="方正小标宋简体" w:eastAsia="方正小标宋简体" w:hAnsi="微软雅黑" w:cs="宋体" w:hint="eastAsia"/>
          <w:color w:val="000000"/>
          <w:kern w:val="36"/>
          <w:sz w:val="36"/>
          <w:szCs w:val="36"/>
        </w:rPr>
        <w:t>院校</w:t>
      </w:r>
      <w:r w:rsidRPr="001F559D">
        <w:rPr>
          <w:rFonts w:ascii="方正小标宋简体" w:eastAsia="方正小标宋简体" w:hAnsi="微软雅黑" w:cs="宋体" w:hint="eastAsia"/>
          <w:color w:val="000000"/>
          <w:kern w:val="36"/>
          <w:sz w:val="36"/>
          <w:szCs w:val="36"/>
        </w:rPr>
        <w:t>关工委“创新案例”</w:t>
      </w:r>
    </w:p>
    <w:p w:rsidR="000F00B6" w:rsidRPr="001F559D" w:rsidRDefault="000F00B6" w:rsidP="000F00B6">
      <w:pPr>
        <w:widowControl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36"/>
          <w:szCs w:val="36"/>
        </w:rPr>
      </w:pPr>
      <w:r w:rsidRPr="001F559D">
        <w:rPr>
          <w:rFonts w:ascii="方正小标宋简体" w:eastAsia="方正小标宋简体" w:hAnsi="微软雅黑" w:cs="宋体" w:hint="eastAsia"/>
          <w:color w:val="000000"/>
          <w:kern w:val="36"/>
          <w:sz w:val="36"/>
          <w:szCs w:val="36"/>
        </w:rPr>
        <w:t>推荐评选活动的通知</w:t>
      </w:r>
    </w:p>
    <w:p w:rsidR="000F00B6" w:rsidRPr="000F00B6" w:rsidRDefault="000F00B6" w:rsidP="000F00B6">
      <w:pPr>
        <w:widowControl/>
        <w:ind w:firstLine="480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0F00B6">
        <w:rPr>
          <w:rFonts w:ascii="Simsun" w:eastAsia="宋体" w:hAnsi="Simsun" w:cs="宋体"/>
          <w:color w:val="333333"/>
          <w:kern w:val="0"/>
          <w:sz w:val="27"/>
          <w:szCs w:val="27"/>
        </w:rPr>
        <w:t> </w:t>
      </w:r>
    </w:p>
    <w:p w:rsidR="000F00B6" w:rsidRPr="001F559D" w:rsidRDefault="000F00B6" w:rsidP="000F00B6">
      <w:pPr>
        <w:widowControl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各省、自治区、直辖市教育厅（教委）关工委，新疆生产建设兵团教育局关工委：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为深入</w:t>
      </w:r>
      <w:r w:rsidR="0062488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学习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贯彻习近平</w:t>
      </w:r>
      <w:r w:rsidR="00576AEC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新时代中国特色社会主义思想和党的十九大精神，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总结宣传推广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职业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教育关工委创新工作经验，打造新的工作品牌，进一步提升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职业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教育关工委工作水平，教育部关工委决定开展全国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职业</w:t>
      </w:r>
      <w:r w:rsidR="0062488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院校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关工委“创新案例”推荐评选活动。现将有关要求通知如下：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F5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一、活动组织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主办单位：教育部关工委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承办单位：《心系下一代》</w:t>
      </w:r>
      <w:r w:rsidR="00213C5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杂志社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F5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二、参评对象</w:t>
      </w:r>
    </w:p>
    <w:p w:rsidR="000F00B6" w:rsidRPr="001F559D" w:rsidRDefault="0062488D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全国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职业院校关工委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组织开展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的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具有</w:t>
      </w:r>
      <w:r w:rsidR="0033303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一定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创新性的品牌工作和活动。</w:t>
      </w:r>
    </w:p>
    <w:p w:rsidR="00C62337" w:rsidRDefault="00C62337" w:rsidP="00C62337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3759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函件底部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337" w:rsidRDefault="00C62337" w:rsidP="00C62337">
      <w:pPr>
        <w:widowControl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</w:p>
    <w:p w:rsidR="000F00B6" w:rsidRPr="001F559D" w:rsidRDefault="000F00B6" w:rsidP="00C62337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F5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三、</w:t>
      </w:r>
      <w:r w:rsidR="00A57C9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案例</w:t>
      </w:r>
      <w:r w:rsidR="001F5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参评</w:t>
      </w:r>
      <w:r w:rsidRPr="001F5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标准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1.案例</w:t>
      </w:r>
      <w:r w:rsidR="00A57C9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需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紧密围绕立德树人的根本任务，密切配合主渠道，能够充分发挥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职业院校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关工委及“五老”优势和独特作用；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2.</w:t>
      </w:r>
      <w:r w:rsidR="00CC5CFE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案例的工作方法和内容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紧跟时代步伐、与时俱进，具有创新性，富有特色；</w:t>
      </w:r>
    </w:p>
    <w:p w:rsidR="000F00B6" w:rsidRPr="001F559D" w:rsidRDefault="00157E61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3.201</w:t>
      </w:r>
      <w:r w:rsidR="005825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5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年以后（含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201</w:t>
      </w:r>
      <w:r w:rsidR="005825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5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年）启动，</w:t>
      </w:r>
      <w:r w:rsidR="00EC62F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已经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在一定范围推广，形成了比较成熟的工作机制，取得了良好的实际效果，发挥了示范带动效应。</w:t>
      </w:r>
    </w:p>
    <w:p w:rsidR="000F00B6" w:rsidRPr="00EC62F6" w:rsidRDefault="000F00B6" w:rsidP="00890457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C62F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四、评选方式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1.组织推荐。由各省级教育关工委组织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本地的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初评并推荐。每省（区、市）推荐候选案例</w:t>
      </w:r>
      <w:r w:rsidR="0033303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3-</w:t>
      </w:r>
      <w:r w:rsidR="004A04D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4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个，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并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于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2018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年</w:t>
      </w:r>
      <w:r w:rsidR="00AF5A6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9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月底前将名单和有关材料报送《心系下一代》杂志社。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2.</w:t>
      </w:r>
      <w:r w:rsidR="00213C5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评选分三轮。第一轮：</w:t>
      </w:r>
      <w:r w:rsidR="00AF5A6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10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月</w:t>
      </w:r>
      <w:r w:rsidR="00157E6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15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日前，</w:t>
      </w:r>
      <w:r w:rsidR="0033303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《心系下一代》杂志社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组织专家评审团队，对各地推荐的候选对象进行初审，确定</w:t>
      </w:r>
      <w:r w:rsidR="007C5183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40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个“创新案例”候选对象；第二轮</w:t>
      </w:r>
      <w:r w:rsidR="00213C5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：</w:t>
      </w:r>
      <w:r w:rsidR="00AF5A6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10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月1</w:t>
      </w:r>
      <w:r w:rsidR="004A04D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6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日</w:t>
      </w:r>
      <w:r w:rsidR="00AF5A6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-10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月</w:t>
      </w:r>
      <w:r w:rsidR="00AF5A6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31</w:t>
      </w:r>
      <w:r w:rsidR="00213C5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日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，组织</w:t>
      </w:r>
      <w:r w:rsidR="00BE7ED5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网上展示、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网下投票</w:t>
      </w:r>
      <w:r w:rsidR="00BE7ED5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并经专家评审团队审定，从</w:t>
      </w:r>
      <w:r w:rsidR="00EC62F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50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个候选对象中确定</w:t>
      </w:r>
      <w:r w:rsidR="004A04D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20</w:t>
      </w:r>
      <w:r w:rsidR="00213C5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个晋级对象；第三轮：</w:t>
      </w:r>
      <w:r w:rsidR="00AF5A6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11</w:t>
      </w:r>
      <w:r w:rsidR="005825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月</w:t>
      </w:r>
      <w:r w:rsidR="00AF5A6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初</w:t>
      </w:r>
      <w:r w:rsidR="005825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</w:t>
      </w:r>
      <w:r w:rsidR="00BE7ED5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教育部关工委常务主任办公会议研究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审定，从</w:t>
      </w:r>
      <w:r w:rsidR="004A04D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0个晋级对象中最后评选出十大“创新案例”。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3.</w:t>
      </w:r>
      <w:r w:rsidR="00BE7ED5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评选结果公布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。</w:t>
      </w:r>
      <w:r w:rsidR="004A04DD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11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月，</w:t>
      </w:r>
      <w:r w:rsidR="00BE7ED5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公布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“创新案例”评选结果。</w:t>
      </w:r>
    </w:p>
    <w:p w:rsidR="00C62337" w:rsidRDefault="00C62337" w:rsidP="00890457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0F00B6" w:rsidRPr="007C5183" w:rsidRDefault="000F00B6" w:rsidP="00890457">
      <w:pPr>
        <w:widowControl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C51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五、有关安排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1.推荐材料：</w:t>
      </w:r>
    </w:p>
    <w:p w:rsidR="000F00B6" w:rsidRPr="001F559D" w:rsidRDefault="00AF5A62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（1）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推荐表（含纸质和电子推荐表），包括500字案例简介，要求简明扼要、事迹突出；</w:t>
      </w:r>
    </w:p>
    <w:p w:rsidR="000F00B6" w:rsidRPr="001F559D" w:rsidRDefault="00AF5A62" w:rsidP="00AF5A62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（2）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案例介绍材料，准确反映案例的创新思路、组织形式、具体内容、参加人员、实际效果以及主要特色等情况，语言精炼，不超过3000字；</w:t>
      </w:r>
    </w:p>
    <w:p w:rsidR="000F00B6" w:rsidRPr="001F559D" w:rsidRDefault="00AF5A62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（3）</w:t>
      </w:r>
      <w:r w:rsidR="000F00B6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反映案例活动情况和风貌的电子照片（5张以内，像素不小于1024*768）。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2．本次活动将在教育部关工委官网（www.ggw.edu.cn）、《心系下一代》杂志和教育部关工委微信公众号开设专栏，集中宣传，并及时发布活动进展情况。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联系人：刘美文（《心系下一代》杂志社）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电话：021—63778665；021—63772665；18901848008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推荐材料专用邮箱：ggwcxal@126.com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《心系下一代》杂志社地址：上海市陆家浜路1332</w:t>
      </w:r>
      <w:bookmarkStart w:id="0" w:name="_GoBack"/>
      <w:bookmarkEnd w:id="0"/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号1102室；邮编：200077</w:t>
      </w:r>
    </w:p>
    <w:p w:rsidR="000F00B6" w:rsidRPr="001F559D" w:rsidRDefault="000F00B6" w:rsidP="00890457">
      <w:pPr>
        <w:widowControl/>
        <w:ind w:firstLineChars="200" w:firstLine="64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附件：《优秀创新案例推荐表》</w:t>
      </w:r>
    </w:p>
    <w:p w:rsidR="000F00B6" w:rsidRPr="001F559D" w:rsidRDefault="00C62337" w:rsidP="000F00B6">
      <w:pPr>
        <w:widowControl/>
        <w:ind w:firstLine="48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125095</wp:posOffset>
            </wp:positionV>
            <wp:extent cx="1525627" cy="1522095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关工委电子印章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627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0B6" w:rsidRPr="001F559D" w:rsidRDefault="000F00B6" w:rsidP="000F00B6">
      <w:pPr>
        <w:widowControl/>
        <w:ind w:firstLine="480"/>
        <w:jc w:val="left"/>
        <w:rPr>
          <w:rFonts w:ascii="仿宋_GB2312" w:eastAsia="仿宋_GB2312" w:hAnsi="Simsun" w:cs="宋体"/>
          <w:color w:val="333333"/>
          <w:kern w:val="0"/>
          <w:sz w:val="32"/>
          <w:szCs w:val="32"/>
        </w:rPr>
      </w:pP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教育部关心下一代工作委员会</w:t>
      </w:r>
    </w:p>
    <w:p w:rsidR="00A569FB" w:rsidRPr="00C62337" w:rsidRDefault="000F00B6" w:rsidP="00C62337">
      <w:pPr>
        <w:widowControl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</w:pP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 </w:t>
      </w:r>
      <w:r w:rsidR="00A93471" w:rsidRPr="001F559D">
        <w:rPr>
          <w:rFonts w:ascii="Simsun" w:eastAsia="仿宋_GB2312" w:hAnsi="Simsun" w:cs="宋体" w:hint="eastAsia"/>
          <w:color w:val="333333"/>
          <w:kern w:val="0"/>
          <w:sz w:val="32"/>
          <w:szCs w:val="32"/>
        </w:rPr>
        <w:t> 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2018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年</w:t>
      </w:r>
      <w:r w:rsidR="00A93471"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6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月</w:t>
      </w:r>
      <w:r w:rsidR="00560DDB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27</w:t>
      </w:r>
      <w:r w:rsidRPr="001F559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日</w:t>
      </w:r>
    </w:p>
    <w:sectPr w:rsidR="00A569FB" w:rsidRPr="00C62337" w:rsidSect="00A1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83" w:rsidRDefault="00B63083" w:rsidP="00576AEC">
      <w:r>
        <w:separator/>
      </w:r>
    </w:p>
  </w:endnote>
  <w:endnote w:type="continuationSeparator" w:id="0">
    <w:p w:rsidR="00B63083" w:rsidRDefault="00B63083" w:rsidP="0057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83" w:rsidRDefault="00B63083" w:rsidP="00576AEC">
      <w:r>
        <w:separator/>
      </w:r>
    </w:p>
  </w:footnote>
  <w:footnote w:type="continuationSeparator" w:id="0">
    <w:p w:rsidR="00B63083" w:rsidRDefault="00B63083" w:rsidP="00576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3D"/>
    <w:rsid w:val="000E4D78"/>
    <w:rsid w:val="000F00B6"/>
    <w:rsid w:val="0012283D"/>
    <w:rsid w:val="0015200D"/>
    <w:rsid w:val="00157E61"/>
    <w:rsid w:val="001875FB"/>
    <w:rsid w:val="001F559D"/>
    <w:rsid w:val="00213C56"/>
    <w:rsid w:val="0033303D"/>
    <w:rsid w:val="00334A1D"/>
    <w:rsid w:val="00367A3F"/>
    <w:rsid w:val="003E2448"/>
    <w:rsid w:val="00452532"/>
    <w:rsid w:val="004A04DD"/>
    <w:rsid w:val="00546633"/>
    <w:rsid w:val="00560DDB"/>
    <w:rsid w:val="00576AEC"/>
    <w:rsid w:val="00582597"/>
    <w:rsid w:val="005F6031"/>
    <w:rsid w:val="00601D84"/>
    <w:rsid w:val="0062488D"/>
    <w:rsid w:val="00645BBB"/>
    <w:rsid w:val="007246F9"/>
    <w:rsid w:val="007413E6"/>
    <w:rsid w:val="00797870"/>
    <w:rsid w:val="007B580C"/>
    <w:rsid w:val="007C5183"/>
    <w:rsid w:val="00890457"/>
    <w:rsid w:val="009D0264"/>
    <w:rsid w:val="009E2415"/>
    <w:rsid w:val="00A01C0B"/>
    <w:rsid w:val="00A1513A"/>
    <w:rsid w:val="00A569FB"/>
    <w:rsid w:val="00A57C96"/>
    <w:rsid w:val="00A93471"/>
    <w:rsid w:val="00AF5A62"/>
    <w:rsid w:val="00B1044B"/>
    <w:rsid w:val="00B536FD"/>
    <w:rsid w:val="00B622D5"/>
    <w:rsid w:val="00B63083"/>
    <w:rsid w:val="00BB450C"/>
    <w:rsid w:val="00BE7ED5"/>
    <w:rsid w:val="00BF281A"/>
    <w:rsid w:val="00C62337"/>
    <w:rsid w:val="00CA5733"/>
    <w:rsid w:val="00CC5CFE"/>
    <w:rsid w:val="00E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DCCBB-21F8-43CC-AE14-6262000E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A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45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50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F5A6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F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FA46-D57A-4058-800D-FDBE1948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182</Words>
  <Characters>1040</Characters>
  <Application>Microsoft Office Word</Application>
  <DocSecurity>0</DocSecurity>
  <Lines>8</Lines>
  <Paragraphs>2</Paragraphs>
  <ScaleCrop>false</ScaleCrop>
  <Company>Lenovo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2018-07-09T08:05:00Z</cp:lastPrinted>
  <dcterms:created xsi:type="dcterms:W3CDTF">2018-06-07T03:18:00Z</dcterms:created>
  <dcterms:modified xsi:type="dcterms:W3CDTF">2018-07-09T08:07:00Z</dcterms:modified>
</cp:coreProperties>
</file>